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025B" w14:textId="77777777" w:rsidR="0078600D" w:rsidRDefault="0093389F">
      <w:pPr>
        <w:pStyle w:val="BodyText"/>
        <w:spacing w:before="0"/>
        <w:ind w:left="4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0" locked="0" layoutInCell="1" allowOverlap="1" wp14:anchorId="6DF0D966" wp14:editId="4BD108FA">
            <wp:simplePos x="0" y="0"/>
            <wp:positionH relativeFrom="column">
              <wp:posOffset>4752975</wp:posOffset>
            </wp:positionH>
            <wp:positionV relativeFrom="page">
              <wp:posOffset>285750</wp:posOffset>
            </wp:positionV>
            <wp:extent cx="1200785" cy="14751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P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6427">
        <w:rPr>
          <w:rFonts w:asci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6878573A" wp14:editId="6BB73172">
            <wp:simplePos x="0" y="0"/>
            <wp:positionH relativeFrom="column">
              <wp:posOffset>57150</wp:posOffset>
            </wp:positionH>
            <wp:positionV relativeFrom="page">
              <wp:posOffset>1104265</wp:posOffset>
            </wp:positionV>
            <wp:extent cx="2437130" cy="65659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BE1AE0" w14:textId="77777777" w:rsidR="0078600D" w:rsidRDefault="0078600D">
      <w:pPr>
        <w:pStyle w:val="BodyText"/>
        <w:spacing w:before="0"/>
        <w:ind w:left="0"/>
        <w:rPr>
          <w:rFonts w:ascii="Times New Roman"/>
          <w:sz w:val="20"/>
        </w:rPr>
      </w:pPr>
    </w:p>
    <w:p w14:paraId="4C19D798" w14:textId="77777777" w:rsidR="0078600D" w:rsidRDefault="00F600DD">
      <w:pPr>
        <w:pStyle w:val="Title"/>
        <w:spacing w:before="189" w:line="259" w:lineRule="auto"/>
        <w:ind w:left="4157" w:right="4158"/>
      </w:pPr>
      <w:r>
        <w:rPr>
          <w:color w:val="1F3864"/>
        </w:rPr>
        <w:t>Call for Offer</w:t>
      </w:r>
      <w:r>
        <w:rPr>
          <w:color w:val="1F3864"/>
          <w:spacing w:val="-53"/>
        </w:rPr>
        <w:t xml:space="preserve"> </w:t>
      </w:r>
      <w:r>
        <w:rPr>
          <w:color w:val="1F3864"/>
        </w:rPr>
        <w:t>For</w:t>
      </w:r>
    </w:p>
    <w:p w14:paraId="1670C25B" w14:textId="350145C5" w:rsidR="0078600D" w:rsidRDefault="0076140B">
      <w:pPr>
        <w:pStyle w:val="Title"/>
        <w:spacing w:line="293" w:lineRule="exact"/>
        <w:rPr>
          <w:color w:val="1F3864"/>
          <w:spacing w:val="-4"/>
        </w:rPr>
      </w:pPr>
      <w:r>
        <w:rPr>
          <w:color w:val="1F3864"/>
          <w:spacing w:val="-4"/>
        </w:rPr>
        <w:t>a Web</w:t>
      </w:r>
      <w:r w:rsidR="00A2605A">
        <w:rPr>
          <w:color w:val="1F3864"/>
          <w:spacing w:val="-4"/>
        </w:rPr>
        <w:t>-d</w:t>
      </w:r>
      <w:r w:rsidR="0093389F">
        <w:rPr>
          <w:color w:val="1F3864"/>
          <w:spacing w:val="-4"/>
        </w:rPr>
        <w:t>esigner</w:t>
      </w:r>
      <w:r w:rsidR="00A2605A">
        <w:rPr>
          <w:color w:val="1F3864"/>
          <w:spacing w:val="-4"/>
        </w:rPr>
        <w:t xml:space="preserve"> </w:t>
      </w:r>
      <w:r w:rsidR="001D48B6">
        <w:rPr>
          <w:color w:val="1F3864"/>
          <w:spacing w:val="-4"/>
        </w:rPr>
        <w:t>–</w:t>
      </w:r>
      <w:r w:rsidR="00A2605A">
        <w:rPr>
          <w:color w:val="1F3864"/>
          <w:spacing w:val="-4"/>
        </w:rPr>
        <w:t xml:space="preserve"> Kosovo</w:t>
      </w:r>
    </w:p>
    <w:p w14:paraId="38030D40" w14:textId="0CDE67B8" w:rsidR="001D48B6" w:rsidRDefault="001D48B6">
      <w:pPr>
        <w:pStyle w:val="Title"/>
        <w:spacing w:line="293" w:lineRule="exact"/>
      </w:pPr>
    </w:p>
    <w:p w14:paraId="17279B37" w14:textId="214654CE" w:rsidR="001D48B6" w:rsidRPr="008154C1" w:rsidRDefault="001D48B6" w:rsidP="001D48B6">
      <w:pPr>
        <w:pStyle w:val="Heading1"/>
        <w:spacing w:before="55"/>
        <w:ind w:left="0"/>
        <w:jc w:val="center"/>
        <w:rPr>
          <w:color w:val="1F3864"/>
          <w:sz w:val="28"/>
          <w:szCs w:val="28"/>
        </w:rPr>
      </w:pPr>
      <w:r>
        <w:rPr>
          <w:color w:val="1F3864"/>
          <w:sz w:val="28"/>
          <w:szCs w:val="28"/>
        </w:rPr>
        <w:t>Call No: 2/225/KOS</w:t>
      </w:r>
    </w:p>
    <w:p w14:paraId="4B3DA674" w14:textId="77777777" w:rsidR="001D48B6" w:rsidRDefault="001D48B6">
      <w:pPr>
        <w:pStyle w:val="Title"/>
        <w:spacing w:line="293" w:lineRule="exact"/>
      </w:pPr>
    </w:p>
    <w:p w14:paraId="7EDCD241" w14:textId="77777777" w:rsidR="0078600D" w:rsidRDefault="0078600D">
      <w:pPr>
        <w:pStyle w:val="BodyText"/>
        <w:spacing w:before="2"/>
        <w:ind w:left="0"/>
        <w:rPr>
          <w:b/>
          <w:sz w:val="17"/>
        </w:rPr>
      </w:pPr>
    </w:p>
    <w:p w14:paraId="787B0677" w14:textId="77777777" w:rsidR="0078600D" w:rsidRDefault="00F600DD" w:rsidP="00630F8E">
      <w:pPr>
        <w:pStyle w:val="Heading1"/>
        <w:spacing w:before="55"/>
        <w:ind w:left="0"/>
      </w:pPr>
      <w:r>
        <w:rPr>
          <w:color w:val="1F3864"/>
        </w:rPr>
        <w:t>Background</w:t>
      </w:r>
    </w:p>
    <w:p w14:paraId="22B3F101" w14:textId="77777777" w:rsidR="00E115B4" w:rsidRDefault="00E115B4" w:rsidP="009C4EF6">
      <w:pPr>
        <w:pStyle w:val="BodyText"/>
        <w:spacing w:line="259" w:lineRule="auto"/>
        <w:ind w:left="0"/>
        <w:jc w:val="both"/>
      </w:pPr>
      <w:r w:rsidRPr="00E115B4">
        <w:t>The Institute of Strategic Studies and Prognoses (ISSP) was founded in 1998 with the vision of creating an open market society with a high level of economic, political</w:t>
      </w:r>
      <w:r>
        <w:t>,</w:t>
      </w:r>
      <w:r w:rsidRPr="00E115B4">
        <w:t xml:space="preserve"> and individual freedom. ISSP is </w:t>
      </w:r>
      <w:r>
        <w:t xml:space="preserve">the </w:t>
      </w:r>
      <w:r w:rsidRPr="00E115B4">
        <w:t xml:space="preserve">first independent economic think </w:t>
      </w:r>
      <w:r>
        <w:t>tank</w:t>
      </w:r>
      <w:r w:rsidRPr="00E115B4">
        <w:t xml:space="preserve"> in Montenegro, with 20 years of experience in conducting </w:t>
      </w:r>
      <w:r>
        <w:t>high-quality</w:t>
      </w:r>
      <w:r w:rsidRPr="00E115B4">
        <w:t xml:space="preserve"> research and analysis. ISSP is </w:t>
      </w:r>
      <w:r>
        <w:t xml:space="preserve">a </w:t>
      </w:r>
      <w:r w:rsidRPr="00E115B4">
        <w:t xml:space="preserve">scientific research institution accredited by </w:t>
      </w:r>
      <w:r>
        <w:t xml:space="preserve">the </w:t>
      </w:r>
      <w:r w:rsidRPr="00E115B4">
        <w:t>Montenegrin Ministry of Science.</w:t>
      </w:r>
      <w:r>
        <w:t xml:space="preserve"> </w:t>
      </w:r>
      <w:r w:rsidRPr="00E115B4">
        <w:t>ISSP is recognized in Montenegro but also in the region as an institution to set agenda for advocating reform and a vehicle to communicate economic and social change through data, analysis</w:t>
      </w:r>
      <w:r w:rsidR="004B6C69">
        <w:t>,</w:t>
      </w:r>
      <w:r w:rsidRPr="00E115B4">
        <w:t xml:space="preserve"> and publications.</w:t>
      </w:r>
    </w:p>
    <w:p w14:paraId="6C316AE2" w14:textId="77777777" w:rsidR="0078600D" w:rsidRDefault="00F600DD" w:rsidP="009C4EF6">
      <w:pPr>
        <w:pStyle w:val="BodyText"/>
        <w:spacing w:line="259" w:lineRule="auto"/>
        <w:ind w:left="0"/>
        <w:jc w:val="both"/>
      </w:pPr>
      <w:r>
        <w:t>Institute for Development Policy (INDEP) was established in 2011 in Pristina, Kosovo, as a think‐tank</w:t>
      </w:r>
      <w:r>
        <w:rPr>
          <w:spacing w:val="1"/>
        </w:rPr>
        <w:t xml:space="preserve"> </w:t>
      </w:r>
      <w:r>
        <w:t xml:space="preserve">guided </w:t>
      </w:r>
      <w:r w:rsidR="0093389F">
        <w:t>by</w:t>
      </w:r>
      <w:r>
        <w:t xml:space="preserve"> the mission to strengthen and guide sustainable socio‐political and economic development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 justice</w:t>
      </w:r>
      <w:r w:rsidR="0093389F">
        <w:t>,</w:t>
      </w:r>
      <w:r>
        <w:t xml:space="preserve"> and human rights. To fulfill our mission’s beliefs, INDEP’s work is divided into our</w:t>
      </w:r>
      <w:r>
        <w:rPr>
          <w:spacing w:val="1"/>
        </w:rPr>
        <w:t xml:space="preserve"> </w:t>
      </w:r>
      <w:r>
        <w:t xml:space="preserve">three core </w:t>
      </w:r>
      <w:r w:rsidR="0093389F">
        <w:t>programs</w:t>
      </w:r>
      <w:r>
        <w:t>: Democratic Governance, Sustainable Development, and Regional Cooperation.</w:t>
      </w:r>
      <w:r>
        <w:rPr>
          <w:spacing w:val="1"/>
        </w:rPr>
        <w:t xml:space="preserve"> </w:t>
      </w:r>
      <w:r>
        <w:t xml:space="preserve">Hence, </w:t>
      </w:r>
      <w:r w:rsidR="0093389F">
        <w:t>matches</w:t>
      </w:r>
      <w:r>
        <w:t xml:space="preserve"> our vision of a democratic society that is able to run a functional and integrated state.</w:t>
      </w:r>
      <w:r>
        <w:rPr>
          <w:spacing w:val="1"/>
        </w:rPr>
        <w:t xml:space="preserve"> </w:t>
      </w:r>
      <w:r>
        <w:t>Customer protection is one of the core pre‐conditions to fully achieve a just society that protects all</w:t>
      </w:r>
      <w:r>
        <w:rPr>
          <w:spacing w:val="1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society.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means</w:t>
      </w:r>
      <w:r>
        <w:rPr>
          <w:spacing w:val="-8"/>
        </w:rPr>
        <w:t xml:space="preserve"> </w:t>
      </w:r>
      <w:r>
        <w:t>used,</w:t>
      </w:r>
      <w:r>
        <w:rPr>
          <w:spacing w:val="-6"/>
        </w:rPr>
        <w:t xml:space="preserve"> </w:t>
      </w:r>
      <w:r>
        <w:t>INDEP</w:t>
      </w:r>
      <w:r>
        <w:rPr>
          <w:spacing w:val="-8"/>
        </w:rPr>
        <w:t xml:space="preserve"> </w:t>
      </w:r>
      <w:r>
        <w:t>uses</w:t>
      </w:r>
      <w:r>
        <w:rPr>
          <w:spacing w:val="-7"/>
        </w:rPr>
        <w:t xml:space="preserve"> </w:t>
      </w:r>
      <w:r>
        <w:t>advocacy</w:t>
      </w:r>
      <w:r>
        <w:rPr>
          <w:spacing w:val="-8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reach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set</w:t>
      </w:r>
      <w:r>
        <w:rPr>
          <w:spacing w:val="-47"/>
        </w:rPr>
        <w:t xml:space="preserve"> </w:t>
      </w:r>
      <w:r>
        <w:t>objectives.</w:t>
      </w:r>
    </w:p>
    <w:p w14:paraId="3EDE50CB" w14:textId="5C303804" w:rsidR="0078600D" w:rsidRDefault="00F600DD" w:rsidP="009C4EF6">
      <w:pPr>
        <w:pStyle w:val="BodyText"/>
        <w:spacing w:before="158" w:line="259" w:lineRule="auto"/>
        <w:ind w:left="0"/>
        <w:jc w:val="both"/>
      </w:pPr>
      <w:r>
        <w:t>Starting</w:t>
      </w:r>
      <w:r>
        <w:rPr>
          <w:spacing w:val="-7"/>
        </w:rPr>
        <w:t xml:space="preserve"> </w:t>
      </w:r>
      <w:r w:rsidR="00E115B4">
        <w:t>in</w:t>
      </w:r>
      <w:r>
        <w:rPr>
          <w:spacing w:val="-5"/>
        </w:rPr>
        <w:t xml:space="preserve"> </w:t>
      </w:r>
      <w:r w:rsidR="00E115B4">
        <w:t>March</w:t>
      </w:r>
      <w:r>
        <w:rPr>
          <w:spacing w:val="-6"/>
        </w:rPr>
        <w:t xml:space="preserve"> </w:t>
      </w:r>
      <w:r>
        <w:t>202</w:t>
      </w:r>
      <w:r w:rsidR="00E115B4">
        <w:t>3</w:t>
      </w:r>
      <w:r>
        <w:t>,</w:t>
      </w:r>
      <w:r w:rsidR="009D0514">
        <w:t xml:space="preserve"> the </w:t>
      </w:r>
      <w:r w:rsidR="009D0514" w:rsidRPr="00E115B4">
        <w:t xml:space="preserve">Institute of Strategic Studies and Prognoses (ISSP) </w:t>
      </w:r>
      <w:r w:rsidR="009D0514">
        <w:t>and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(INDEP)</w:t>
      </w:r>
      <w:r>
        <w:rPr>
          <w:spacing w:val="-6"/>
        </w:rPr>
        <w:t xml:space="preserve"> </w:t>
      </w:r>
      <w:r w:rsidR="009D0514">
        <w:t>are</w:t>
      </w:r>
      <w:r>
        <w:rPr>
          <w:spacing w:val="-7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 w:rsidR="002E43EC">
        <w:rPr>
          <w:spacing w:val="-7"/>
        </w:rPr>
        <w:t xml:space="preserve">two-year </w:t>
      </w:r>
      <w:r>
        <w:t>project</w:t>
      </w:r>
      <w:r>
        <w:rPr>
          <w:spacing w:val="-6"/>
        </w:rPr>
        <w:t xml:space="preserve"> </w:t>
      </w:r>
      <w:r>
        <w:t>‘</w:t>
      </w:r>
      <w:r w:rsidR="009D0514" w:rsidRPr="00AE0D9A">
        <w:rPr>
          <w:b/>
        </w:rPr>
        <w:t>Young NEETs: new opportunities for work and increased employability - UNEETED</w:t>
      </w:r>
      <w:r w:rsidRPr="00AE0D9A">
        <w:rPr>
          <w:b/>
        </w:rPr>
        <w:t>’</w:t>
      </w:r>
      <w:r>
        <w:rPr>
          <w:spacing w:val="-47"/>
        </w:rPr>
        <w:t xml:space="preserve"> </w:t>
      </w:r>
      <w:r>
        <w:t>funded</w:t>
      </w:r>
      <w:r>
        <w:rPr>
          <w:spacing w:val="-9"/>
        </w:rPr>
        <w:t xml:space="preserve"> </w:t>
      </w:r>
      <w:r>
        <w:t>by</w:t>
      </w:r>
      <w:r w:rsidR="009D0514">
        <w:t xml:space="preserve"> </w:t>
      </w:r>
      <w:r w:rsidR="00AE0D9A">
        <w:t xml:space="preserve">the </w:t>
      </w:r>
      <w:r w:rsidR="009D0514">
        <w:t>Ministry of Finance – Directorate for Finance and Contracting of the EU Assistance Funds</w:t>
      </w:r>
      <w:r>
        <w:t>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objective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project</w:t>
      </w:r>
      <w:r>
        <w:rPr>
          <w:spacing w:val="-10"/>
        </w:rPr>
        <w:t xml:space="preserve"> </w:t>
      </w:r>
      <w:r w:rsidR="00236F1D">
        <w:t>is to improve</w:t>
      </w:r>
      <w:r w:rsidR="00D22270">
        <w:t xml:space="preserve"> the social position of young people who are not in Education, Employment</w:t>
      </w:r>
      <w:r w:rsidR="00207CEE">
        <w:t>,</w:t>
      </w:r>
      <w:r w:rsidR="00D22270">
        <w:t xml:space="preserve"> </w:t>
      </w:r>
      <w:r w:rsidR="00207CEE">
        <w:t>or</w:t>
      </w:r>
      <w:r w:rsidR="00D22270">
        <w:t xml:space="preserve"> Training (NEETs) in the</w:t>
      </w:r>
      <w:r w:rsidR="00236F1D">
        <w:t xml:space="preserve"> municipalities of </w:t>
      </w:r>
      <w:proofErr w:type="spellStart"/>
      <w:r w:rsidR="00236F1D">
        <w:t>Mojkovac</w:t>
      </w:r>
      <w:proofErr w:type="spellEnd"/>
      <w:r w:rsidR="00236F1D">
        <w:t xml:space="preserve">, </w:t>
      </w:r>
      <w:proofErr w:type="spellStart"/>
      <w:r w:rsidR="00236F1D">
        <w:t>Bijelo</w:t>
      </w:r>
      <w:proofErr w:type="spellEnd"/>
      <w:r w:rsidR="00236F1D">
        <w:t xml:space="preserve"> Polje, </w:t>
      </w:r>
      <w:proofErr w:type="spellStart"/>
      <w:r w:rsidR="00236F1D">
        <w:t>Rozaje</w:t>
      </w:r>
      <w:proofErr w:type="spellEnd"/>
      <w:r w:rsidR="00236F1D">
        <w:t xml:space="preserve">, </w:t>
      </w:r>
      <w:proofErr w:type="spellStart"/>
      <w:r w:rsidR="00236F1D">
        <w:t>Plav</w:t>
      </w:r>
      <w:proofErr w:type="spellEnd"/>
      <w:r w:rsidR="00207CEE">
        <w:t>,</w:t>
      </w:r>
      <w:r w:rsidR="00236F1D">
        <w:t xml:space="preserve"> and </w:t>
      </w:r>
      <w:proofErr w:type="spellStart"/>
      <w:r w:rsidR="00236F1D">
        <w:t>Gusinje</w:t>
      </w:r>
      <w:proofErr w:type="spellEnd"/>
      <w:r w:rsidR="00236F1D">
        <w:t xml:space="preserve"> in Montenegro and in </w:t>
      </w:r>
      <w:proofErr w:type="spellStart"/>
      <w:r w:rsidR="00236F1D">
        <w:t>Pejë</w:t>
      </w:r>
      <w:proofErr w:type="spellEnd"/>
      <w:r w:rsidR="00236F1D">
        <w:t xml:space="preserve">, </w:t>
      </w:r>
      <w:proofErr w:type="spellStart"/>
      <w:r w:rsidR="00236F1D">
        <w:t>Junik</w:t>
      </w:r>
      <w:proofErr w:type="spellEnd"/>
      <w:r w:rsidR="00236F1D">
        <w:t xml:space="preserve">, </w:t>
      </w:r>
      <w:proofErr w:type="spellStart"/>
      <w:r w:rsidR="00236F1D">
        <w:t>Deçan</w:t>
      </w:r>
      <w:proofErr w:type="spellEnd"/>
      <w:r w:rsidR="00236F1D">
        <w:t xml:space="preserve"> in Kosovo</w:t>
      </w:r>
      <w:r w:rsidR="00207CEE">
        <w:t xml:space="preserve"> through enhancing their employability and connecting them with potential employers.</w:t>
      </w:r>
    </w:p>
    <w:p w14:paraId="71CE5CC7" w14:textId="77777777" w:rsidR="0078600D" w:rsidRDefault="0078600D" w:rsidP="009C4EF6">
      <w:pPr>
        <w:tabs>
          <w:tab w:val="left" w:pos="1199"/>
          <w:tab w:val="left" w:pos="1201"/>
        </w:tabs>
        <w:spacing w:line="259" w:lineRule="auto"/>
        <w:ind w:right="311"/>
      </w:pPr>
    </w:p>
    <w:p w14:paraId="14CA20C0" w14:textId="463B5F88" w:rsidR="0078600D" w:rsidRDefault="009C4EF6" w:rsidP="004B6C69">
      <w:pPr>
        <w:tabs>
          <w:tab w:val="left" w:pos="1199"/>
          <w:tab w:val="left" w:pos="1201"/>
          <w:tab w:val="left" w:pos="9270"/>
        </w:tabs>
        <w:spacing w:line="259" w:lineRule="auto"/>
        <w:jc w:val="both"/>
        <w:sectPr w:rsidR="0078600D">
          <w:type w:val="continuous"/>
          <w:pgSz w:w="12240" w:h="15840"/>
          <w:pgMar w:top="1220" w:right="1320" w:bottom="280" w:left="1320" w:header="720" w:footer="720" w:gutter="0"/>
          <w:cols w:space="720"/>
        </w:sectPr>
      </w:pPr>
      <w:r>
        <w:t xml:space="preserve">The key </w:t>
      </w:r>
      <w:r w:rsidR="004B6C69">
        <w:t>stakeholder</w:t>
      </w:r>
      <w:r>
        <w:t xml:space="preserve"> groups are primarily representatives from the Ministry of Finance and Social Welfare, as well as the representatives of </w:t>
      </w:r>
      <w:r w:rsidR="004B6C69">
        <w:t>labor</w:t>
      </w:r>
      <w:r>
        <w:t xml:space="preserve"> bureaus and social work </w:t>
      </w:r>
      <w:r w:rsidR="004B6C69">
        <w:t>centers</w:t>
      </w:r>
      <w:r>
        <w:t xml:space="preserve">. </w:t>
      </w:r>
      <w:r w:rsidR="004B6C69">
        <w:t xml:space="preserve"> Also, the action involves the participation of representatives from non-governmental organizations, and the private sector. </w:t>
      </w:r>
      <w:r w:rsidR="000D2FFE">
        <w:t xml:space="preserve"> </w:t>
      </w:r>
      <w:r w:rsidR="00F73F8A">
        <w:t xml:space="preserve">For the relevant stakeholders, primarily local and national authorities working to implement policies related to </w:t>
      </w:r>
      <w:r w:rsidR="002D3058">
        <w:t xml:space="preserve">the </w:t>
      </w:r>
      <w:r w:rsidR="00F73F8A">
        <w:t xml:space="preserve">NEET population, the actions of the project foresee a set of </w:t>
      </w:r>
      <w:r w:rsidR="002D3058">
        <w:t>capacity-building</w:t>
      </w:r>
      <w:r w:rsidR="00F73F8A">
        <w:t xml:space="preserve"> activities, designed to meet their needs. It will result in improved policy framework and governing capacities, hence, leading to an increase in the </w:t>
      </w:r>
      <w:r w:rsidR="002D3058">
        <w:t>efficiency</w:t>
      </w:r>
      <w:r w:rsidR="00D77D3C">
        <w:t xml:space="preserve"> of institutions in tackling the issues and achieving better results.</w:t>
      </w:r>
    </w:p>
    <w:p w14:paraId="2957334D" w14:textId="77777777" w:rsidR="0078600D" w:rsidRDefault="00F600DD">
      <w:pPr>
        <w:pStyle w:val="Heading1"/>
      </w:pPr>
      <w:r>
        <w:rPr>
          <w:color w:val="1F3864"/>
        </w:rPr>
        <w:lastRenderedPageBreak/>
        <w:t>Description</w:t>
      </w:r>
      <w:r>
        <w:rPr>
          <w:color w:val="1F3864"/>
          <w:spacing w:val="-5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the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assignment</w:t>
      </w:r>
    </w:p>
    <w:p w14:paraId="1157EABD" w14:textId="4E1DF6C7" w:rsidR="0078600D" w:rsidRDefault="00F600DD" w:rsidP="007534AC">
      <w:pPr>
        <w:pStyle w:val="BodyText"/>
        <w:spacing w:before="182" w:line="259" w:lineRule="auto"/>
        <w:ind w:left="0" w:right="120"/>
        <w:jc w:val="both"/>
      </w:pPr>
      <w:r>
        <w:rPr>
          <w:spacing w:val="-1"/>
        </w:rPr>
        <w:t>A</w:t>
      </w:r>
      <w:r w:rsidR="00D77D3C">
        <w:rPr>
          <w:spacing w:val="-1"/>
        </w:rPr>
        <w:t xml:space="preserve">mong others, one of the main actions of the project is to raise public awareness </w:t>
      </w:r>
      <w:r w:rsidR="00AC5A27">
        <w:rPr>
          <w:spacing w:val="-1"/>
        </w:rPr>
        <w:t>of</w:t>
      </w:r>
      <w:r w:rsidR="00D77D3C">
        <w:rPr>
          <w:spacing w:val="-1"/>
        </w:rPr>
        <w:t xml:space="preserve"> the importance and vulnerability of the targeted group</w:t>
      </w:r>
      <w:r w:rsidR="00A764B4">
        <w:rPr>
          <w:spacing w:val="-1"/>
        </w:rPr>
        <w:t xml:space="preserve">, </w:t>
      </w:r>
      <w:r w:rsidR="00AC5A27">
        <w:rPr>
          <w:spacing w:val="-1"/>
        </w:rPr>
        <w:t xml:space="preserve">the </w:t>
      </w:r>
      <w:r w:rsidR="00A764B4">
        <w:rPr>
          <w:spacing w:val="-1"/>
        </w:rPr>
        <w:t>importance of their inclusion in society</w:t>
      </w:r>
      <w:r w:rsidR="00AC5A27">
        <w:rPr>
          <w:spacing w:val="-1"/>
        </w:rPr>
        <w:t>,</w:t>
      </w:r>
      <w:r w:rsidR="00A764B4">
        <w:rPr>
          <w:spacing w:val="-1"/>
        </w:rPr>
        <w:t xml:space="preserve"> and the contribution of their </w:t>
      </w:r>
      <w:r w:rsidR="00AC5A27">
        <w:rPr>
          <w:spacing w:val="-1"/>
        </w:rPr>
        <w:t>activation</w:t>
      </w:r>
      <w:r w:rsidR="00A764B4">
        <w:rPr>
          <w:spacing w:val="-1"/>
        </w:rPr>
        <w:t xml:space="preserve"> in achieving other strategic objectives at both local </w:t>
      </w:r>
      <w:r w:rsidR="00AC5A27">
        <w:rPr>
          <w:spacing w:val="-1"/>
        </w:rPr>
        <w:t>and</w:t>
      </w:r>
      <w:r w:rsidR="00A764B4">
        <w:rPr>
          <w:spacing w:val="-1"/>
        </w:rPr>
        <w:t xml:space="preserve"> national </w:t>
      </w:r>
      <w:r w:rsidR="00AC5A27">
        <w:rPr>
          <w:spacing w:val="-1"/>
        </w:rPr>
        <w:t>levels</w:t>
      </w:r>
      <w:r w:rsidR="00A764B4">
        <w:rPr>
          <w:spacing w:val="-1"/>
        </w:rPr>
        <w:t xml:space="preserve">. A web platform – UNEETED will be </w:t>
      </w:r>
      <w:r w:rsidR="00AC5A27">
        <w:rPr>
          <w:spacing w:val="-1"/>
        </w:rPr>
        <w:t>specially</w:t>
      </w:r>
      <w:r w:rsidR="00A764B4">
        <w:rPr>
          <w:spacing w:val="-1"/>
        </w:rPr>
        <w:t xml:space="preserve"> designed to </w:t>
      </w:r>
      <w:r w:rsidR="00AC5A27">
        <w:rPr>
          <w:spacing w:val="-1"/>
        </w:rPr>
        <w:t>support</w:t>
      </w:r>
      <w:r w:rsidR="00A764B4">
        <w:rPr>
          <w:spacing w:val="-1"/>
        </w:rPr>
        <w:t xml:space="preserve"> </w:t>
      </w:r>
      <w:r w:rsidR="00AC5A27">
        <w:rPr>
          <w:spacing w:val="-1"/>
        </w:rPr>
        <w:t xml:space="preserve">the </w:t>
      </w:r>
      <w:r w:rsidR="00A764B4">
        <w:rPr>
          <w:spacing w:val="-1"/>
        </w:rPr>
        <w:t xml:space="preserve">project’s results and objectives. </w:t>
      </w:r>
      <w:r w:rsidR="00E34B37">
        <w:rPr>
          <w:spacing w:val="-1"/>
        </w:rPr>
        <w:t xml:space="preserve">It will </w:t>
      </w:r>
      <w:r w:rsidR="00AC5A27">
        <w:rPr>
          <w:spacing w:val="-1"/>
        </w:rPr>
        <w:t>provide information</w:t>
      </w:r>
      <w:r w:rsidR="00E34B37">
        <w:rPr>
          <w:spacing w:val="-1"/>
        </w:rPr>
        <w:t xml:space="preserve"> on the project and its achievements, but will also provide information on available development and educational programs or job opportunities for young NEETs.</w:t>
      </w:r>
      <w:r w:rsidR="002135E2">
        <w:rPr>
          <w:spacing w:val="-1"/>
        </w:rPr>
        <w:t xml:space="preserve"> The web platform will bring all the relevant statistics on NEETs, in the two countries, Kosovo and Montenegro, </w:t>
      </w:r>
      <w:r w:rsidR="00AC5A27">
        <w:rPr>
          <w:spacing w:val="-1"/>
        </w:rPr>
        <w:t>into</w:t>
      </w:r>
      <w:r w:rsidR="002135E2">
        <w:rPr>
          <w:spacing w:val="-1"/>
        </w:rPr>
        <w:t xml:space="preserve"> one place</w:t>
      </w:r>
      <w:r w:rsidR="00AC5A27">
        <w:rPr>
          <w:spacing w:val="-1"/>
        </w:rPr>
        <w:t>.</w:t>
      </w:r>
      <w:r w:rsidR="00A33F89">
        <w:rPr>
          <w:spacing w:val="-1"/>
        </w:rPr>
        <w:t xml:space="preserve"> It will also be a channel for interested parties to join the network and establish cooperation with other stakeholders working in the area.</w:t>
      </w:r>
    </w:p>
    <w:p w14:paraId="74D51F5C" w14:textId="52CE5EC3" w:rsidR="0078600D" w:rsidRDefault="00F600DD" w:rsidP="007534AC">
      <w:pPr>
        <w:pStyle w:val="BodyText"/>
        <w:spacing w:before="159" w:line="259" w:lineRule="auto"/>
        <w:ind w:left="0" w:right="121"/>
        <w:jc w:val="both"/>
      </w:pPr>
      <w:r>
        <w:t xml:space="preserve">The contracting party (in collaboration with </w:t>
      </w:r>
      <w:r w:rsidR="00A33F89">
        <w:t xml:space="preserve">ISSP and </w:t>
      </w:r>
      <w:r>
        <w:t>INDEP), will be in</w:t>
      </w:r>
      <w:r>
        <w:rPr>
          <w:spacing w:val="1"/>
        </w:rPr>
        <w:t xml:space="preserve"> </w:t>
      </w:r>
      <w:r>
        <w:t xml:space="preserve">charge of </w:t>
      </w:r>
      <w:r w:rsidR="00BC18B4">
        <w:t xml:space="preserve">planning, </w:t>
      </w:r>
      <w:r>
        <w:t>designing</w:t>
      </w:r>
      <w:r w:rsidR="00BC18B4">
        <w:t>,</w:t>
      </w:r>
      <w:r w:rsidR="004907DC">
        <w:t xml:space="preserve"> and</w:t>
      </w:r>
      <w:r>
        <w:t xml:space="preserve"> </w:t>
      </w:r>
      <w:r w:rsidR="001D072C">
        <w:t>publishing news, materials and events on</w:t>
      </w:r>
      <w:r w:rsidR="004907DC">
        <w:t xml:space="preserve"> the web platform</w:t>
      </w:r>
      <w:r w:rsidR="001D072C">
        <w:t>.</w:t>
      </w:r>
    </w:p>
    <w:p w14:paraId="2F21104C" w14:textId="77777777" w:rsidR="0078600D" w:rsidRDefault="00F600DD">
      <w:pPr>
        <w:pStyle w:val="Heading1"/>
        <w:spacing w:before="159"/>
      </w:pPr>
      <w:r>
        <w:rPr>
          <w:color w:val="1F3864"/>
        </w:rPr>
        <w:t>Specification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the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assignment</w:t>
      </w:r>
    </w:p>
    <w:p w14:paraId="63F3DB24" w14:textId="517B3508" w:rsidR="0078600D" w:rsidRDefault="001D072C" w:rsidP="007534AC">
      <w:pPr>
        <w:pStyle w:val="BodyText"/>
        <w:spacing w:before="160" w:line="259" w:lineRule="auto"/>
        <w:ind w:left="0" w:right="119"/>
        <w:jc w:val="both"/>
      </w:pPr>
      <w:r w:rsidRPr="001D072C">
        <w:t xml:space="preserve">The </w:t>
      </w:r>
      <w:r>
        <w:t>bidding party</w:t>
      </w:r>
      <w:r w:rsidRPr="001D072C">
        <w:t xml:space="preserve"> will be responsible for continuous communication with the project staff, for drafting news and publishing them </w:t>
      </w:r>
      <w:r w:rsidR="00081D23">
        <w:t>into</w:t>
      </w:r>
      <w:r w:rsidRPr="001D072C">
        <w:t xml:space="preserve"> the project platform. Also, </w:t>
      </w:r>
      <w:r>
        <w:t>the bidding party</w:t>
      </w:r>
      <w:r w:rsidRPr="001D072C">
        <w:t xml:space="preserve"> will be responsible for updating the data on the website, and overseeing the activities of the project.</w:t>
      </w:r>
      <w:r>
        <w:t xml:space="preserve"> </w:t>
      </w:r>
      <w:r w:rsidR="00F600DD">
        <w:t>This website should be easily accessible, user‐friendly, and efficient. Materials presented</w:t>
      </w:r>
      <w:r w:rsidR="00F600DD">
        <w:rPr>
          <w:spacing w:val="1"/>
        </w:rPr>
        <w:t xml:space="preserve"> </w:t>
      </w:r>
      <w:r w:rsidR="002E6A23">
        <w:t>by</w:t>
      </w:r>
      <w:r w:rsidR="00F600DD">
        <w:rPr>
          <w:spacing w:val="1"/>
        </w:rPr>
        <w:t xml:space="preserve"> </w:t>
      </w:r>
      <w:r w:rsidR="00F600DD">
        <w:t>the</w:t>
      </w:r>
      <w:r w:rsidR="00F600DD">
        <w:rPr>
          <w:spacing w:val="1"/>
        </w:rPr>
        <w:t xml:space="preserve"> </w:t>
      </w:r>
      <w:r w:rsidR="00F600DD">
        <w:t>bidding</w:t>
      </w:r>
      <w:r w:rsidR="00F600DD">
        <w:rPr>
          <w:spacing w:val="1"/>
        </w:rPr>
        <w:t xml:space="preserve"> </w:t>
      </w:r>
      <w:r w:rsidR="00F600DD">
        <w:t>party</w:t>
      </w:r>
      <w:r w:rsidR="00F600DD">
        <w:rPr>
          <w:spacing w:val="1"/>
        </w:rPr>
        <w:t xml:space="preserve"> </w:t>
      </w:r>
      <w:r w:rsidR="00F600DD">
        <w:t>are</w:t>
      </w:r>
      <w:r w:rsidR="00F600DD">
        <w:rPr>
          <w:spacing w:val="1"/>
        </w:rPr>
        <w:t xml:space="preserve"> </w:t>
      </w:r>
      <w:r w:rsidR="00F600DD">
        <w:t>not</w:t>
      </w:r>
      <w:r w:rsidR="00F600DD">
        <w:rPr>
          <w:spacing w:val="1"/>
        </w:rPr>
        <w:t xml:space="preserve"> </w:t>
      </w:r>
      <w:r w:rsidR="00F600DD">
        <w:t>obliged</w:t>
      </w:r>
      <w:r w:rsidR="00F600DD">
        <w:rPr>
          <w:spacing w:val="1"/>
        </w:rPr>
        <w:t xml:space="preserve"> </w:t>
      </w:r>
      <w:r w:rsidR="00F600DD">
        <w:t>to</w:t>
      </w:r>
      <w:r w:rsidR="00F600DD">
        <w:rPr>
          <w:spacing w:val="1"/>
        </w:rPr>
        <w:t xml:space="preserve"> </w:t>
      </w:r>
      <w:r w:rsidR="00F600DD">
        <w:t>match</w:t>
      </w:r>
      <w:r w:rsidR="00F600DD">
        <w:rPr>
          <w:spacing w:val="1"/>
        </w:rPr>
        <w:t xml:space="preserve"> </w:t>
      </w:r>
      <w:r w:rsidR="00F600DD">
        <w:t>the</w:t>
      </w:r>
      <w:r w:rsidR="00F600DD">
        <w:rPr>
          <w:spacing w:val="1"/>
        </w:rPr>
        <w:t xml:space="preserve"> </w:t>
      </w:r>
      <w:r w:rsidR="00F600DD">
        <w:t>design</w:t>
      </w:r>
      <w:r w:rsidR="00F600DD">
        <w:rPr>
          <w:spacing w:val="1"/>
        </w:rPr>
        <w:t xml:space="preserve"> </w:t>
      </w:r>
      <w:r w:rsidR="00F600DD">
        <w:t>of</w:t>
      </w:r>
      <w:r w:rsidR="00F600DD">
        <w:rPr>
          <w:spacing w:val="1"/>
        </w:rPr>
        <w:t xml:space="preserve"> </w:t>
      </w:r>
      <w:r w:rsidR="00F600DD">
        <w:t>the</w:t>
      </w:r>
      <w:r w:rsidR="00F600DD">
        <w:rPr>
          <w:spacing w:val="1"/>
        </w:rPr>
        <w:t xml:space="preserve"> </w:t>
      </w:r>
      <w:r w:rsidR="00F600DD">
        <w:t>materials</w:t>
      </w:r>
      <w:r w:rsidR="00F600DD">
        <w:rPr>
          <w:spacing w:val="1"/>
        </w:rPr>
        <w:t xml:space="preserve"> </w:t>
      </w:r>
      <w:r w:rsidR="00F600DD">
        <w:t>of</w:t>
      </w:r>
      <w:r w:rsidR="00F600DD">
        <w:rPr>
          <w:spacing w:val="1"/>
        </w:rPr>
        <w:t xml:space="preserve"> </w:t>
      </w:r>
      <w:r w:rsidR="002E6A23">
        <w:t>the project</w:t>
      </w:r>
      <w:r w:rsidR="00F600DD">
        <w:t>.</w:t>
      </w:r>
      <w:r>
        <w:t xml:space="preserve"> </w:t>
      </w:r>
    </w:p>
    <w:p w14:paraId="1D2AD4AA" w14:textId="77777777" w:rsidR="0078600D" w:rsidRDefault="00F600DD" w:rsidP="007534AC">
      <w:pPr>
        <w:pStyle w:val="BodyText"/>
        <w:spacing w:before="158" w:line="259" w:lineRule="auto"/>
        <w:ind w:left="0" w:right="120"/>
        <w:jc w:val="both"/>
      </w:pPr>
      <w:r>
        <w:t>The bidding party is required to bring forward a creative idea that has not been used prior in other</w:t>
      </w:r>
      <w:r>
        <w:rPr>
          <w:spacing w:val="1"/>
        </w:rPr>
        <w:t xml:space="preserve"> </w:t>
      </w:r>
      <w:r>
        <w:t>projects.</w:t>
      </w:r>
      <w:r>
        <w:rPr>
          <w:spacing w:val="-2"/>
        </w:rPr>
        <w:t xml:space="preserve"> </w:t>
      </w:r>
      <w:r>
        <w:t>Any plagiarism</w:t>
      </w:r>
      <w:r>
        <w:rPr>
          <w:spacing w:val="-2"/>
        </w:rPr>
        <w:t xml:space="preserve"> </w:t>
      </w:r>
      <w:r>
        <w:t>from other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disregarded.</w:t>
      </w:r>
    </w:p>
    <w:p w14:paraId="0F2D3668" w14:textId="77777777" w:rsidR="0078600D" w:rsidRDefault="00F600DD" w:rsidP="007534AC">
      <w:pPr>
        <w:pStyle w:val="BodyText"/>
        <w:spacing w:before="161" w:line="259" w:lineRule="auto"/>
        <w:ind w:left="0" w:right="119"/>
        <w:jc w:val="both"/>
      </w:pPr>
      <w:r>
        <w:t xml:space="preserve">The contracted party will be in charge of clear visibility of the logos of </w:t>
      </w:r>
      <w:r w:rsidR="00D64667">
        <w:t xml:space="preserve">ISSP, </w:t>
      </w:r>
      <w:r>
        <w:t>INDEP, the donor</w:t>
      </w:r>
      <w:r w:rsidR="00D64667">
        <w:t>,</w:t>
      </w:r>
      <w:r>
        <w:t xml:space="preserve"> and the raising</w:t>
      </w:r>
      <w:r>
        <w:rPr>
          <w:spacing w:val="1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campaign.</w:t>
      </w:r>
    </w:p>
    <w:p w14:paraId="548CF38B" w14:textId="5324DB5A" w:rsidR="0078600D" w:rsidRDefault="00F600DD" w:rsidP="007534AC">
      <w:pPr>
        <w:pStyle w:val="BodyText"/>
        <w:spacing w:before="159" w:line="259" w:lineRule="auto"/>
        <w:ind w:left="0" w:right="121"/>
        <w:jc w:val="both"/>
      </w:pPr>
      <w:r>
        <w:t xml:space="preserve">It is mandatory that all of the content of the website is available in </w:t>
      </w:r>
      <w:r w:rsidR="00D64667" w:rsidRPr="007534AC">
        <w:t xml:space="preserve">English, </w:t>
      </w:r>
      <w:r w:rsidR="002E43EC" w:rsidRPr="007534AC">
        <w:t xml:space="preserve">and </w:t>
      </w:r>
      <w:r w:rsidRPr="007534AC">
        <w:t>Albanian</w:t>
      </w:r>
      <w:r w:rsidR="002E43EC" w:rsidRPr="007534AC">
        <w:t>.</w:t>
      </w:r>
      <w:r w:rsidR="002E43EC">
        <w:t xml:space="preserve"> </w:t>
      </w:r>
    </w:p>
    <w:p w14:paraId="3E680B70" w14:textId="77777777" w:rsidR="0078600D" w:rsidRDefault="00F600DD">
      <w:pPr>
        <w:pStyle w:val="Heading1"/>
        <w:spacing w:before="159"/>
      </w:pPr>
      <w:r>
        <w:rPr>
          <w:color w:val="1F3864"/>
        </w:rPr>
        <w:t>Eligibility of the applicant</w:t>
      </w:r>
    </w:p>
    <w:p w14:paraId="388BAFC4" w14:textId="77777777" w:rsidR="0078600D" w:rsidRDefault="00F600DD" w:rsidP="007534AC">
      <w:pPr>
        <w:pStyle w:val="BodyText"/>
        <w:ind w:left="0"/>
      </w:pPr>
      <w:r>
        <w:t>The</w:t>
      </w:r>
      <w:r>
        <w:rPr>
          <w:spacing w:val="-4"/>
        </w:rPr>
        <w:t xml:space="preserve"> </w:t>
      </w:r>
      <w:r>
        <w:t>interested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should meet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criteria:</w:t>
      </w:r>
    </w:p>
    <w:p w14:paraId="61E2B124" w14:textId="383BBA3F" w:rsidR="0078600D" w:rsidRDefault="00F600DD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182"/>
      </w:pPr>
      <w:r>
        <w:t>Have</w:t>
      </w:r>
      <w:r>
        <w:rPr>
          <w:spacing w:val="-3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 w:rsidR="0057317F">
        <w:t>drafting and writing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materials,</w:t>
      </w:r>
    </w:p>
    <w:p w14:paraId="50B2A218" w14:textId="1DD8D272" w:rsidR="0078600D" w:rsidRDefault="0057317F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20"/>
      </w:pPr>
      <w:r w:rsidRPr="0057317F">
        <w:t>Be creative and have new ideas</w:t>
      </w:r>
      <w:r w:rsidR="00F600DD">
        <w:t>,</w:t>
      </w:r>
    </w:p>
    <w:p w14:paraId="700161C3" w14:textId="77777777" w:rsidR="0078600D" w:rsidRDefault="00F600DD">
      <w:pPr>
        <w:pStyle w:val="ListParagraph"/>
        <w:numPr>
          <w:ilvl w:val="0"/>
          <w:numId w:val="2"/>
        </w:numPr>
        <w:tabs>
          <w:tab w:val="left" w:pos="1199"/>
          <w:tab w:val="left" w:pos="1200"/>
        </w:tabs>
        <w:spacing w:before="22"/>
      </w:pPr>
      <w:r>
        <w:t>Present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portfolio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activities.</w:t>
      </w:r>
    </w:p>
    <w:p w14:paraId="00105707" w14:textId="77777777" w:rsidR="0078600D" w:rsidRDefault="00F600DD">
      <w:pPr>
        <w:pStyle w:val="Heading1"/>
        <w:spacing w:before="182"/>
        <w:ind w:left="119"/>
      </w:pPr>
      <w:r>
        <w:rPr>
          <w:color w:val="1F3864"/>
        </w:rPr>
        <w:t>Required</w:t>
      </w:r>
      <w:r>
        <w:rPr>
          <w:color w:val="1F3864"/>
          <w:spacing w:val="-6"/>
        </w:rPr>
        <w:t xml:space="preserve"> </w:t>
      </w:r>
      <w:r w:rsidR="00D64667">
        <w:rPr>
          <w:color w:val="1F3864"/>
        </w:rPr>
        <w:t>Documentation</w:t>
      </w:r>
    </w:p>
    <w:p w14:paraId="0DE74B4A" w14:textId="77777777" w:rsidR="0078600D" w:rsidRDefault="00F600DD" w:rsidP="007534AC">
      <w:pPr>
        <w:pStyle w:val="BodyText"/>
        <w:ind w:left="0"/>
      </w:pPr>
      <w:r>
        <w:t>Interested</w:t>
      </w:r>
      <w:r>
        <w:rPr>
          <w:spacing w:val="-4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documents:</w:t>
      </w:r>
    </w:p>
    <w:p w14:paraId="7D3FFBA5" w14:textId="77777777" w:rsidR="0078600D" w:rsidRDefault="00F600DD">
      <w:pPr>
        <w:pStyle w:val="ListParagraph"/>
        <w:numPr>
          <w:ilvl w:val="0"/>
          <w:numId w:val="1"/>
        </w:numPr>
        <w:tabs>
          <w:tab w:val="left" w:pos="1199"/>
          <w:tab w:val="left" w:pos="1200"/>
        </w:tabs>
        <w:spacing w:before="182"/>
        <w:ind w:hanging="721"/>
      </w:pPr>
      <w:r>
        <w:t>Financial</w:t>
      </w:r>
      <w:r>
        <w:rPr>
          <w:spacing w:val="-2"/>
        </w:rPr>
        <w:t xml:space="preserve"> </w:t>
      </w:r>
      <w:r>
        <w:t>Proposal</w:t>
      </w:r>
    </w:p>
    <w:p w14:paraId="695F00AD" w14:textId="77777777" w:rsidR="0078600D" w:rsidRDefault="00F600DD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before="181"/>
        <w:ind w:hanging="721"/>
        <w:rPr>
          <w:color w:val="1F3864"/>
        </w:rPr>
      </w:pPr>
      <w:r>
        <w:t>Professional</w:t>
      </w:r>
      <w:r>
        <w:rPr>
          <w:spacing w:val="-4"/>
        </w:rPr>
        <w:t xml:space="preserve"> </w:t>
      </w:r>
      <w:r>
        <w:t>Portfolio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Registration</w:t>
      </w:r>
    </w:p>
    <w:p w14:paraId="7CA9DFA2" w14:textId="77777777" w:rsidR="0078600D" w:rsidRDefault="00F600DD">
      <w:pPr>
        <w:pStyle w:val="ListParagraph"/>
        <w:numPr>
          <w:ilvl w:val="0"/>
          <w:numId w:val="1"/>
        </w:numPr>
        <w:tabs>
          <w:tab w:val="left" w:pos="1199"/>
          <w:tab w:val="left" w:pos="1201"/>
        </w:tabs>
        <w:spacing w:before="22"/>
        <w:ind w:hanging="721"/>
        <w:rPr>
          <w:color w:val="1F3864"/>
        </w:rPr>
      </w:pPr>
      <w:r>
        <w:t>Website</w:t>
      </w:r>
      <w:r>
        <w:rPr>
          <w:spacing w:val="-2"/>
        </w:rPr>
        <w:t xml:space="preserve"> </w:t>
      </w:r>
      <w:r>
        <w:t>concept</w:t>
      </w:r>
    </w:p>
    <w:p w14:paraId="7E015C25" w14:textId="77777777" w:rsidR="0078600D" w:rsidRDefault="0078600D"/>
    <w:p w14:paraId="1538F433" w14:textId="77777777" w:rsidR="007534AC" w:rsidRDefault="007534AC" w:rsidP="007534AC">
      <w:pPr>
        <w:pStyle w:val="BodyText"/>
        <w:spacing w:before="180"/>
        <w:ind w:left="0"/>
        <w:rPr>
          <w:b/>
        </w:rPr>
      </w:pP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proposal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match</w:t>
      </w:r>
      <w:r>
        <w:rPr>
          <w:spacing w:val="-2"/>
        </w:rPr>
        <w:t xml:space="preserve"> </w:t>
      </w:r>
      <w:r>
        <w:rPr>
          <w:b/>
        </w:rPr>
        <w:t>2,400.00</w:t>
      </w:r>
      <w:r>
        <w:rPr>
          <w:b/>
          <w:spacing w:val="-3"/>
        </w:rPr>
        <w:t xml:space="preserve"> </w:t>
      </w:r>
      <w:r>
        <w:rPr>
          <w:b/>
        </w:rPr>
        <w:t>EUR.</w:t>
      </w:r>
    </w:p>
    <w:p w14:paraId="1BF5548C" w14:textId="7116427B" w:rsidR="007534AC" w:rsidRDefault="007534AC">
      <w:pPr>
        <w:sectPr w:rsidR="007534AC">
          <w:pgSz w:w="12240" w:h="15840"/>
          <w:pgMar w:top="1400" w:right="1320" w:bottom="280" w:left="1320" w:header="720" w:footer="720" w:gutter="0"/>
          <w:cols w:space="720"/>
        </w:sectPr>
      </w:pPr>
    </w:p>
    <w:p w14:paraId="2DB93ABB" w14:textId="77777777" w:rsidR="0078600D" w:rsidRDefault="00F600DD">
      <w:pPr>
        <w:pStyle w:val="Heading1"/>
      </w:pPr>
      <w:r>
        <w:rPr>
          <w:color w:val="1F3864"/>
        </w:rPr>
        <w:lastRenderedPageBreak/>
        <w:t>How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apply?</w:t>
      </w:r>
    </w:p>
    <w:p w14:paraId="360ED06E" w14:textId="079EDF77" w:rsidR="0078600D" w:rsidRPr="007534AC" w:rsidRDefault="00F600DD" w:rsidP="007534AC">
      <w:pPr>
        <w:pStyle w:val="BodyText"/>
        <w:spacing w:before="182" w:line="259" w:lineRule="auto"/>
        <w:ind w:left="0" w:right="121"/>
        <w:jc w:val="both"/>
      </w:pPr>
      <w:r w:rsidRPr="007534AC">
        <w:t>All</w:t>
      </w:r>
      <w:r w:rsidRPr="007534AC">
        <w:rPr>
          <w:spacing w:val="1"/>
        </w:rPr>
        <w:t xml:space="preserve"> </w:t>
      </w:r>
      <w:r w:rsidRPr="007534AC">
        <w:t>interested</w:t>
      </w:r>
      <w:r w:rsidRPr="007534AC">
        <w:rPr>
          <w:spacing w:val="1"/>
        </w:rPr>
        <w:t xml:space="preserve"> </w:t>
      </w:r>
      <w:r w:rsidRPr="007534AC">
        <w:t>parties</w:t>
      </w:r>
      <w:r w:rsidRPr="007534AC">
        <w:rPr>
          <w:spacing w:val="1"/>
        </w:rPr>
        <w:t xml:space="preserve"> </w:t>
      </w:r>
      <w:r w:rsidRPr="007534AC">
        <w:t>are</w:t>
      </w:r>
      <w:r w:rsidRPr="007534AC">
        <w:rPr>
          <w:spacing w:val="1"/>
        </w:rPr>
        <w:t xml:space="preserve"> </w:t>
      </w:r>
      <w:r w:rsidRPr="007534AC">
        <w:t>welcome</w:t>
      </w:r>
      <w:r w:rsidRPr="007534AC">
        <w:rPr>
          <w:spacing w:val="1"/>
        </w:rPr>
        <w:t xml:space="preserve"> </w:t>
      </w:r>
      <w:r w:rsidRPr="007534AC">
        <w:t>to</w:t>
      </w:r>
      <w:r w:rsidRPr="007534AC">
        <w:rPr>
          <w:spacing w:val="1"/>
        </w:rPr>
        <w:t xml:space="preserve"> </w:t>
      </w:r>
      <w:r w:rsidRPr="007534AC">
        <w:t>bid.</w:t>
      </w:r>
      <w:r w:rsidRPr="007534AC">
        <w:rPr>
          <w:spacing w:val="1"/>
        </w:rPr>
        <w:t xml:space="preserve"> </w:t>
      </w:r>
      <w:r w:rsidRPr="007534AC">
        <w:t>The</w:t>
      </w:r>
      <w:r w:rsidRPr="007534AC">
        <w:rPr>
          <w:spacing w:val="1"/>
        </w:rPr>
        <w:t xml:space="preserve"> </w:t>
      </w:r>
      <w:r w:rsidRPr="007534AC">
        <w:t>interested</w:t>
      </w:r>
      <w:r w:rsidRPr="007534AC">
        <w:rPr>
          <w:spacing w:val="1"/>
        </w:rPr>
        <w:t xml:space="preserve"> </w:t>
      </w:r>
      <w:r w:rsidRPr="007534AC">
        <w:t>parties</w:t>
      </w:r>
      <w:r w:rsidRPr="007534AC">
        <w:rPr>
          <w:spacing w:val="1"/>
        </w:rPr>
        <w:t xml:space="preserve"> </w:t>
      </w:r>
      <w:r w:rsidRPr="007534AC">
        <w:t>should</w:t>
      </w:r>
      <w:r w:rsidRPr="007534AC">
        <w:rPr>
          <w:spacing w:val="1"/>
        </w:rPr>
        <w:t xml:space="preserve"> </w:t>
      </w:r>
      <w:r w:rsidRPr="007534AC">
        <w:t>send</w:t>
      </w:r>
      <w:r w:rsidRPr="007534AC">
        <w:rPr>
          <w:spacing w:val="1"/>
        </w:rPr>
        <w:t xml:space="preserve"> </w:t>
      </w:r>
      <w:r w:rsidRPr="007534AC">
        <w:t>all</w:t>
      </w:r>
      <w:r w:rsidRPr="007534AC">
        <w:rPr>
          <w:spacing w:val="1"/>
        </w:rPr>
        <w:t xml:space="preserve"> </w:t>
      </w:r>
      <w:r w:rsidRPr="007534AC">
        <w:t>the</w:t>
      </w:r>
      <w:r w:rsidRPr="007534AC">
        <w:rPr>
          <w:spacing w:val="1"/>
        </w:rPr>
        <w:t xml:space="preserve"> </w:t>
      </w:r>
      <w:r w:rsidRPr="007534AC">
        <w:t>required</w:t>
      </w:r>
      <w:r w:rsidRPr="007534AC">
        <w:rPr>
          <w:spacing w:val="-48"/>
        </w:rPr>
        <w:t xml:space="preserve"> </w:t>
      </w:r>
      <w:r w:rsidRPr="007534AC">
        <w:t xml:space="preserve">documents listed above to the address: </w:t>
      </w:r>
      <w:hyperlink r:id="rId7">
        <w:r w:rsidRPr="007534AC">
          <w:rPr>
            <w:color w:val="0563C1"/>
            <w:u w:val="single" w:color="0563C1"/>
          </w:rPr>
          <w:t>office@indep.info</w:t>
        </w:r>
        <w:r w:rsidRPr="007534AC">
          <w:rPr>
            <w:color w:val="0563C1"/>
          </w:rPr>
          <w:t xml:space="preserve"> </w:t>
        </w:r>
      </w:hyperlink>
      <w:r w:rsidRPr="007534AC">
        <w:t>under the subject Line: ‘[Insert company’s /</w:t>
      </w:r>
      <w:r w:rsidRPr="007534AC">
        <w:rPr>
          <w:spacing w:val="1"/>
        </w:rPr>
        <w:t xml:space="preserve"> </w:t>
      </w:r>
      <w:r w:rsidRPr="007534AC">
        <w:t>freelancer</w:t>
      </w:r>
      <w:r w:rsidRPr="007534AC">
        <w:rPr>
          <w:spacing w:val="-1"/>
        </w:rPr>
        <w:t xml:space="preserve"> </w:t>
      </w:r>
      <w:r w:rsidRPr="007534AC">
        <w:t>name] –</w:t>
      </w:r>
      <w:r w:rsidRPr="007534AC">
        <w:rPr>
          <w:spacing w:val="-1"/>
        </w:rPr>
        <w:t xml:space="preserve"> </w:t>
      </w:r>
      <w:r w:rsidRPr="007534AC">
        <w:t xml:space="preserve">Bid </w:t>
      </w:r>
      <w:r w:rsidR="007534AC">
        <w:t>for Web-designer – Kosovo’</w:t>
      </w:r>
      <w:r w:rsidR="00167368" w:rsidRPr="007534AC">
        <w:t>.</w:t>
      </w:r>
    </w:p>
    <w:p w14:paraId="715EE426" w14:textId="77777777" w:rsidR="0078600D" w:rsidRPr="007534AC" w:rsidRDefault="00F600DD" w:rsidP="007534AC">
      <w:pPr>
        <w:pStyle w:val="BodyText"/>
        <w:spacing w:before="159" w:line="259" w:lineRule="auto"/>
        <w:ind w:left="0" w:right="120"/>
        <w:jc w:val="both"/>
      </w:pPr>
      <w:r w:rsidRPr="007534AC">
        <w:t xml:space="preserve">However, INDEP reserves the </w:t>
      </w:r>
      <w:r w:rsidR="00254C0C" w:rsidRPr="007534AC">
        <w:t>right</w:t>
      </w:r>
      <w:r w:rsidRPr="007534AC">
        <w:t xml:space="preserve"> to contact the tenderers for further clarifications. Offers must be</w:t>
      </w:r>
      <w:r w:rsidRPr="007534AC">
        <w:rPr>
          <w:spacing w:val="1"/>
        </w:rPr>
        <w:t xml:space="preserve"> </w:t>
      </w:r>
      <w:r w:rsidRPr="007534AC">
        <w:t>presented in EUR. The offers will be evaluated based on the substance of the offer provided they are</w:t>
      </w:r>
      <w:r w:rsidRPr="007534AC">
        <w:rPr>
          <w:spacing w:val="1"/>
        </w:rPr>
        <w:t xml:space="preserve"> </w:t>
      </w:r>
      <w:r w:rsidRPr="007534AC">
        <w:t>within</w:t>
      </w:r>
      <w:r w:rsidRPr="007534AC">
        <w:rPr>
          <w:spacing w:val="-2"/>
        </w:rPr>
        <w:t xml:space="preserve"> </w:t>
      </w:r>
      <w:r w:rsidRPr="007534AC">
        <w:t>the</w:t>
      </w:r>
      <w:r w:rsidRPr="007534AC">
        <w:rPr>
          <w:spacing w:val="-3"/>
        </w:rPr>
        <w:t xml:space="preserve"> </w:t>
      </w:r>
      <w:r w:rsidRPr="007534AC">
        <w:t>financial</w:t>
      </w:r>
      <w:r w:rsidRPr="007534AC">
        <w:rPr>
          <w:spacing w:val="-3"/>
        </w:rPr>
        <w:t xml:space="preserve"> </w:t>
      </w:r>
      <w:r w:rsidRPr="007534AC">
        <w:t>limitations</w:t>
      </w:r>
      <w:r w:rsidRPr="007534AC">
        <w:rPr>
          <w:spacing w:val="-1"/>
        </w:rPr>
        <w:t xml:space="preserve"> </w:t>
      </w:r>
      <w:r w:rsidRPr="007534AC">
        <w:t>of</w:t>
      </w:r>
      <w:r w:rsidRPr="007534AC">
        <w:rPr>
          <w:spacing w:val="-2"/>
        </w:rPr>
        <w:t xml:space="preserve"> </w:t>
      </w:r>
      <w:r w:rsidRPr="007534AC">
        <w:t>this</w:t>
      </w:r>
      <w:r w:rsidRPr="007534AC">
        <w:rPr>
          <w:spacing w:val="-3"/>
        </w:rPr>
        <w:t xml:space="preserve"> </w:t>
      </w:r>
      <w:r w:rsidRPr="007534AC">
        <w:t>call.</w:t>
      </w:r>
      <w:r w:rsidRPr="007534AC">
        <w:rPr>
          <w:spacing w:val="-3"/>
        </w:rPr>
        <w:t xml:space="preserve"> </w:t>
      </w:r>
      <w:r w:rsidRPr="007534AC">
        <w:t>Only</w:t>
      </w:r>
      <w:r w:rsidRPr="007534AC">
        <w:rPr>
          <w:spacing w:val="-3"/>
        </w:rPr>
        <w:t xml:space="preserve"> </w:t>
      </w:r>
      <w:r w:rsidRPr="007534AC">
        <w:t>shortlisted</w:t>
      </w:r>
      <w:r w:rsidRPr="007534AC">
        <w:rPr>
          <w:spacing w:val="-2"/>
        </w:rPr>
        <w:t xml:space="preserve"> </w:t>
      </w:r>
      <w:r w:rsidRPr="007534AC">
        <w:t>tenderers</w:t>
      </w:r>
      <w:r w:rsidRPr="007534AC">
        <w:rPr>
          <w:spacing w:val="-1"/>
        </w:rPr>
        <w:t xml:space="preserve"> </w:t>
      </w:r>
      <w:r w:rsidRPr="007534AC">
        <w:t>will</w:t>
      </w:r>
      <w:r w:rsidRPr="007534AC">
        <w:rPr>
          <w:spacing w:val="-2"/>
        </w:rPr>
        <w:t xml:space="preserve"> </w:t>
      </w:r>
      <w:r w:rsidRPr="007534AC">
        <w:t>be</w:t>
      </w:r>
      <w:r w:rsidRPr="007534AC">
        <w:rPr>
          <w:spacing w:val="-1"/>
        </w:rPr>
        <w:t xml:space="preserve"> </w:t>
      </w:r>
      <w:r w:rsidRPr="007534AC">
        <w:t>invited</w:t>
      </w:r>
      <w:r w:rsidRPr="007534AC">
        <w:rPr>
          <w:spacing w:val="-2"/>
        </w:rPr>
        <w:t xml:space="preserve"> </w:t>
      </w:r>
      <w:r w:rsidRPr="007534AC">
        <w:t>for</w:t>
      </w:r>
      <w:r w:rsidRPr="007534AC">
        <w:rPr>
          <w:spacing w:val="-3"/>
        </w:rPr>
        <w:t xml:space="preserve"> </w:t>
      </w:r>
      <w:r w:rsidRPr="007534AC">
        <w:t>an</w:t>
      </w:r>
      <w:r w:rsidRPr="007534AC">
        <w:rPr>
          <w:spacing w:val="-1"/>
        </w:rPr>
        <w:t xml:space="preserve"> </w:t>
      </w:r>
      <w:r w:rsidRPr="007534AC">
        <w:t>interview.</w:t>
      </w:r>
    </w:p>
    <w:p w14:paraId="60637DFD" w14:textId="77777777" w:rsidR="0078600D" w:rsidRPr="007534AC" w:rsidRDefault="00F600DD">
      <w:pPr>
        <w:pStyle w:val="Heading1"/>
        <w:spacing w:before="160"/>
      </w:pPr>
      <w:r w:rsidRPr="007534AC">
        <w:rPr>
          <w:color w:val="1F3864"/>
        </w:rPr>
        <w:t>Deadline</w:t>
      </w:r>
    </w:p>
    <w:p w14:paraId="63E53A3C" w14:textId="42EACB60" w:rsidR="0078600D" w:rsidRDefault="00F600DD" w:rsidP="007534AC">
      <w:pPr>
        <w:pStyle w:val="BodyText"/>
        <w:spacing w:before="180" w:line="259" w:lineRule="auto"/>
        <w:ind w:left="0" w:right="120"/>
        <w:jc w:val="both"/>
      </w:pPr>
      <w:r w:rsidRPr="007534AC">
        <w:t xml:space="preserve">The deadline for submission of the offers is </w:t>
      </w:r>
      <w:r w:rsidR="001D48B6">
        <w:rPr>
          <w:b/>
        </w:rPr>
        <w:t>1</w:t>
      </w:r>
      <w:r w:rsidR="00A034D8">
        <w:rPr>
          <w:b/>
        </w:rPr>
        <w:t>5</w:t>
      </w:r>
      <w:bookmarkStart w:id="0" w:name="_GoBack"/>
      <w:bookmarkEnd w:id="0"/>
      <w:r w:rsidRPr="007534AC">
        <w:rPr>
          <w:b/>
        </w:rPr>
        <w:t xml:space="preserve"> </w:t>
      </w:r>
      <w:r w:rsidR="001D48B6">
        <w:rPr>
          <w:b/>
        </w:rPr>
        <w:t>June</w:t>
      </w:r>
      <w:r w:rsidRPr="007534AC">
        <w:rPr>
          <w:b/>
        </w:rPr>
        <w:t xml:space="preserve"> 202</w:t>
      </w:r>
      <w:r w:rsidR="00254C0C" w:rsidRPr="007534AC">
        <w:rPr>
          <w:b/>
        </w:rPr>
        <w:t>3</w:t>
      </w:r>
      <w:r w:rsidRPr="007534AC">
        <w:rPr>
          <w:b/>
        </w:rPr>
        <w:t xml:space="preserve"> at 23:59hr </w:t>
      </w:r>
      <w:r w:rsidRPr="007534AC">
        <w:t xml:space="preserve">at </w:t>
      </w:r>
      <w:hyperlink r:id="rId8">
        <w:r w:rsidRPr="007534AC">
          <w:rPr>
            <w:color w:val="0563C1"/>
            <w:u w:val="single" w:color="0563C1"/>
          </w:rPr>
          <w:t>office@indep.info</w:t>
        </w:r>
        <w:r w:rsidRPr="007534AC">
          <w:t xml:space="preserve">. </w:t>
        </w:r>
      </w:hyperlink>
      <w:r w:rsidRPr="007534AC">
        <w:t>For any</w:t>
      </w:r>
      <w:r w:rsidRPr="007534AC">
        <w:rPr>
          <w:spacing w:val="1"/>
        </w:rPr>
        <w:t xml:space="preserve"> </w:t>
      </w:r>
      <w:r w:rsidR="00254C0C" w:rsidRPr="007534AC">
        <w:t>questions</w:t>
      </w:r>
      <w:r w:rsidRPr="007534AC">
        <w:t>,</w:t>
      </w:r>
      <w:r w:rsidRPr="007534AC">
        <w:rPr>
          <w:spacing w:val="-2"/>
        </w:rPr>
        <w:t xml:space="preserve"> </w:t>
      </w:r>
      <w:r w:rsidRPr="007534AC">
        <w:t>please do</w:t>
      </w:r>
      <w:r w:rsidRPr="007534AC">
        <w:rPr>
          <w:spacing w:val="-1"/>
        </w:rPr>
        <w:t xml:space="preserve"> </w:t>
      </w:r>
      <w:r w:rsidRPr="007534AC">
        <w:t>reach</w:t>
      </w:r>
      <w:r w:rsidRPr="007534AC">
        <w:rPr>
          <w:spacing w:val="1"/>
        </w:rPr>
        <w:t xml:space="preserve"> </w:t>
      </w:r>
      <w:r w:rsidRPr="007534AC">
        <w:t>out</w:t>
      </w:r>
      <w:r w:rsidRPr="007534AC">
        <w:rPr>
          <w:spacing w:val="-1"/>
        </w:rPr>
        <w:t xml:space="preserve"> </w:t>
      </w:r>
      <w:r w:rsidRPr="007534AC">
        <w:t xml:space="preserve">to </w:t>
      </w:r>
      <w:hyperlink r:id="rId9">
        <w:r w:rsidRPr="007534AC">
          <w:rPr>
            <w:color w:val="0563C1"/>
            <w:u w:val="single" w:color="0563C1"/>
          </w:rPr>
          <w:t>office@indep.info</w:t>
        </w:r>
        <w:r w:rsidRPr="007534AC">
          <w:t>.</w:t>
        </w:r>
      </w:hyperlink>
    </w:p>
    <w:sectPr w:rsidR="0078600D"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67B6"/>
    <w:multiLevelType w:val="hybridMultilevel"/>
    <w:tmpl w:val="17C6464C"/>
    <w:lvl w:ilvl="0" w:tplc="3544BF66">
      <w:start w:val="1"/>
      <w:numFmt w:val="decimal"/>
      <w:lvlText w:val="%1."/>
      <w:lvlJc w:val="left"/>
      <w:pPr>
        <w:ind w:left="1200" w:hanging="720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3C8E75AC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DDFA5CC8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DB7A900E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EE1EA55E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93E4168A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33468366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87400544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3F0AB1E4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A3A2B88"/>
    <w:multiLevelType w:val="hybridMultilevel"/>
    <w:tmpl w:val="84764A18"/>
    <w:lvl w:ilvl="0" w:tplc="DDF6D426">
      <w:start w:val="1"/>
      <w:numFmt w:val="decimal"/>
      <w:lvlText w:val="%1."/>
      <w:lvlJc w:val="left"/>
      <w:pPr>
        <w:ind w:left="1200" w:hanging="720"/>
        <w:jc w:val="left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68281CF0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8BA8379A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8DCC4B0C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8CE808EE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05169AF2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A28A0D6E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B3EC1274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6868E5FA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7453692A"/>
    <w:multiLevelType w:val="hybridMultilevel"/>
    <w:tmpl w:val="64B60318"/>
    <w:lvl w:ilvl="0" w:tplc="05FABDD0">
      <w:numFmt w:val="bullet"/>
      <w:lvlText w:val="•"/>
      <w:lvlJc w:val="left"/>
      <w:pPr>
        <w:ind w:left="1200" w:hanging="720"/>
      </w:pPr>
      <w:rPr>
        <w:rFonts w:hint="default"/>
        <w:w w:val="99"/>
        <w:lang w:val="en-US" w:eastAsia="en-US" w:bidi="ar-SA"/>
      </w:rPr>
    </w:lvl>
    <w:lvl w:ilvl="1" w:tplc="8F4A81EC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D8D84F8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DBB8BF78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D7B4D5D6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24D8D654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DDEEA314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DEBA27CA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F7E4841A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0D"/>
    <w:rsid w:val="00081D23"/>
    <w:rsid w:val="000D2FFE"/>
    <w:rsid w:val="00167368"/>
    <w:rsid w:val="001D072C"/>
    <w:rsid w:val="001D48B6"/>
    <w:rsid w:val="00207CEE"/>
    <w:rsid w:val="002135E2"/>
    <w:rsid w:val="00236F1D"/>
    <w:rsid w:val="00254C0C"/>
    <w:rsid w:val="002D3058"/>
    <w:rsid w:val="002E43EC"/>
    <w:rsid w:val="002E6A23"/>
    <w:rsid w:val="003C7F6E"/>
    <w:rsid w:val="004907DC"/>
    <w:rsid w:val="004B6C69"/>
    <w:rsid w:val="00552CB7"/>
    <w:rsid w:val="0057317F"/>
    <w:rsid w:val="00630F8E"/>
    <w:rsid w:val="007534AC"/>
    <w:rsid w:val="0076140B"/>
    <w:rsid w:val="0078600D"/>
    <w:rsid w:val="0093389F"/>
    <w:rsid w:val="009A02A0"/>
    <w:rsid w:val="009C4EF6"/>
    <w:rsid w:val="009D0514"/>
    <w:rsid w:val="00A034D8"/>
    <w:rsid w:val="00A2605A"/>
    <w:rsid w:val="00A33F89"/>
    <w:rsid w:val="00A764B4"/>
    <w:rsid w:val="00AC5A27"/>
    <w:rsid w:val="00AD4BEC"/>
    <w:rsid w:val="00AE0D9A"/>
    <w:rsid w:val="00BC18B4"/>
    <w:rsid w:val="00D22270"/>
    <w:rsid w:val="00D64667"/>
    <w:rsid w:val="00D77D3C"/>
    <w:rsid w:val="00E06427"/>
    <w:rsid w:val="00E115B4"/>
    <w:rsid w:val="00E34B37"/>
    <w:rsid w:val="00F21E98"/>
    <w:rsid w:val="00F600DD"/>
    <w:rsid w:val="00F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6F9E"/>
  <w15:docId w15:val="{0AC0770C-56D8-46E8-941E-A96B61FE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40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1"/>
      <w:ind w:left="1200"/>
    </w:pPr>
  </w:style>
  <w:style w:type="paragraph" w:styleId="Title">
    <w:name w:val="Title"/>
    <w:basedOn w:val="Normal"/>
    <w:uiPriority w:val="10"/>
    <w:qFormat/>
    <w:pPr>
      <w:ind w:left="2688" w:right="268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1D48B6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ndep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ndep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indep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StarTech24</cp:lastModifiedBy>
  <cp:revision>13</cp:revision>
  <dcterms:created xsi:type="dcterms:W3CDTF">2023-04-06T06:52:00Z</dcterms:created>
  <dcterms:modified xsi:type="dcterms:W3CDTF">2023-05-19T07:26:00Z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2023-04-03T00:00:00Z</vt:filetime>
  </property>
  <property fmtid="{D5CDD505-2E9C-101B-9397-08002B2CF9AE}" pid="5" name="GrammarlyDocumentId">
    <vt:lpwstr>64b372a8073cfc2d694f120221ceb16b30c3d7dda3071a378ba5cf1a6a125703</vt:lpwstr>
  </property>
</Properties>
</file>